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7"/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Приложение № 2</w:t>
      </w:r>
      <w:r/>
    </w:p>
    <w:p>
      <w:pPr>
        <w:pStyle w:val="90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по изменениям</w:t>
      </w:r>
      <w:r>
        <w:rPr>
          <w:rFonts w:ascii="Times New Roman" w:hAnsi="Times New Roman" w:cs="Times New Roman"/>
          <w:b/>
          <w:sz w:val="28"/>
          <w:szCs w:val="28"/>
        </w:rPr>
        <w:t xml:space="preserve">, внесенных Приказом № П/0520/25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07"/>
        <w:jc w:val="center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Изменения, вступившие в силу с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30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09.202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5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</w:r>
    </w:p>
    <w:p>
      <w:pPr>
        <w:pStyle w:val="907"/>
        <w:jc w:val="center"/>
        <w:spacing w:line="240" w:lineRule="auto"/>
        <w:rPr>
          <w:bCs/>
          <w:i/>
        </w:rPr>
      </w:pPr>
      <w:r>
        <w:rPr>
          <w:rFonts w:ascii="Times New Roman" w:hAnsi="Times New Roman" w:cs="Times New Roman"/>
          <w:b/>
          <w:i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i/>
          <w:sz w:val="28"/>
          <w:szCs w:val="28"/>
          <w:highlight w:val="none"/>
        </w:rPr>
      </w:r>
    </w:p>
    <w:tbl>
      <w:tblPr>
        <w:tblW w:w="1542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81"/>
        <w:gridCol w:w="7841"/>
      </w:tblGrid>
      <w:tr>
        <w:tblPrEx/>
        <w:trPr>
          <w:trHeight w:val="526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«Стар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дакция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Приказа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/0514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2" w:type="dxa"/>
            <w:vMerge w:val="restart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«Нов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дакция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Приказа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/0514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</w:p>
        </w:tc>
      </w:tr>
      <w:tr>
        <w:tblPrEx/>
        <w:trPr>
          <w:trHeight w:val="526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1. Порядок ведения Единого государственного реестра недвижимости (далее - Порядок) устанавливает: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5) структуру перечней координат пунктов геодезической основы в местных системах координат, установленных в отношении кадастровых округов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(далее - перечни координат геодезических пунктов).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2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Подпункт 5 пункта 5 изложен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новой редакции: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1. Порядок ведения Единого государственного реестра недвижимости (далее - Порядок) устанавливает: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5) структуру перечней координат пунктов геодезической основы в местных системах координат, установленных в отношении кадастровых округов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(далее - перечни координат геодезических пунктов).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>
          <w:trHeight w:val="526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5. Сведения в реестры ЕГРН вносятся при государственном кадастровом учете недвижимого имущества и (или) государственной регистрации прав на недвижимое имущество и сделок с ним (далее - государственный кадастровый учет и государственная регистрация прав соо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тветственно), внесении сведений об объектах реестра границ, внесении дополнительных сведений об объектах недвижимости, если внесение таких сведений не является государственным кадастровым учетом и (или) государственной регистрацией прав, посредством формир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ования в кадастре недвижимости, реестре прав на недвижимость, реестре границ предусмотренных Порядком данных (далее также - сведения, данные).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Формирование данных осуществляется в виде электронного документа, заверенного: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в кадастре недвижимости и реестре прав на недвижимость - усиленной квалифицированной электронной подписью (далее - УКЭП) государственного регистратора прав, сформировавшего такие данные, сведения о котором со статусом «действующий» содержатся в реестре гос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ударственных регистраторов прав, если иное не установлено Порядком;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в кадастре недвижимости при внесении сведений о частях земельных участков, образуемых, изменяемых или исключаемых в связи с внесением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  <w:u w:val="none"/>
              </w:rPr>
              <w:t xml:space="preserve">в ЕГРН сведений об объектах реестра границ, изменением в ЕГРН сведений об объектах реестра границ или исключением из ЕГРН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  <w:u w:val="none"/>
              </w:rPr>
              <w:t xml:space="preserve">сведений об объекте реестра границ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- УКЭП ППК «Роскадастр»;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в кадастре недвижимости при внесении сведений о кадастровой стоимости объектов недвижимости - УКЭП ППК «Роскадастр»;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в кадастре недвижимости при изменении сведений об адресах объектов недвижимости - УКЭП органа регистрации прав;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в реестре границ - УКЭП должностного лица ППК «Роскадастр», уполномоченного на внесение в реестр границ соответствующих сведений.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Каждый указанный в настоящем пункте электронный документ содержит дату и время (указывается московское время) с точностью до секунды его создания (подписания), а также идентифицируется в кадастре недвижимости кадастровым номером, в реестре прав на недвижим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ость - номером регистрации права или номером, предусмотренным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абзацем пятым пункта 15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Порядка, в реестре границ - реестровым номером границ, а в случаях, указанных 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пунктах 84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94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Порядка, - номером, предусмотренным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абзацами вторым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третьим пункта 84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подпунктом 1 пункта 94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Порядка.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2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Пункт 5 изложен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новой редакции: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5. Сведения в реестры ЕГРН вносятся при государственном кадастровом учете недвижимого имущества и (или) государственной регистрации прав на недвижимое имущество и сделок с ним (далее - государственный кадастровый учет и государственная регистрация прав соо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тветственно),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несении сведений о ранее учтенных объектах недвижимости,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внесении сведений об объектах реестра границ, внесении дополнительных сведений об объектах недвижимости, если внесение таких сведений не является государственным кадастровым учетом и (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или) государственной регистрацией прав, посредством формирования в кадастре недвижимости, реестре прав на недвижимость, реестре границ предусмотренных Порядком данных (далее также - сведения, данные).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Формирование данных осуществляется в виде электронного документа, заверенного: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в кадастре недвижимости и реестре прав на недвижимость - усиленной квалифицированной электронной подписью (далее - УКЭП) государственного регистратора прав, сформировавшего такие данные, сведения о котором со статусом «действующий» содержатся в реестре гос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ударственных регистраторов прав, если иное не установлено Порядком;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в кадастре недвижимости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при изменении сведений об объектах недвижимости в связи с внесением в ЕГРН сведений об объектах реестра границ, изменением в ЕГРН сведений об объектах реестра границ или исключением из ЕГРН сведений об объекте реестра границ, в том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числе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при внесении сведений о частях земельных участков, образуемых, изменяемых или исключаемых в связи с внесением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соответствующих сведений в реестр границ (изменением таких сведений) 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УКЭП ППК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«Роскадастр»;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в кадастре недвижимости при внесении сведений о кадастровой стоимости объектов недвижимости - УКЭП ППК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«Роскадастр»;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в кадастре недвижимости при изменении сведений об адресах объектов недвижимости - УКЭП органа регистрации прав;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в перечнях координат пунктов геодезической основы в местных системах координат, установленных в отношении кадастровых округов, - УКЭП ППК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«Роскадастр»;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в реестре границ - УКЭП должностного лица ППК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«Роскадастр»,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уполномоченного на внесение в реестр границ соответствующих сведений.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Каждый указанный в настоящем пункте электронный документ содержит дату и время (указывается московское время) с точностью до секунды его создания (подписания), а также идентифицируется в кадастре недвижимости кадастровым номером, в реестре прав на недвижим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ость - номером регистрации права или номером, предусмотренным абзацем пятым пункта 15 Порядка, в реестре границ - реестровым номером границ, а в случаях, указанных в пунктах 84, 94 Порядка, - номером, предусмотренным абзацами вторым и третьим пункта 84 и п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одпунктом 1 пункта 94 Порядка.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</w:tc>
      </w:tr>
      <w:tr>
        <w:tblPrEx/>
        <w:trPr>
          <w:trHeight w:val="526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112. Каждый перечень координат пунктов геодезической основы в местных системах координат, установленных в отношении кадастровых округов (далее - перечень геодезических пунктов, геодезические пункты соответственно), идентифицируется учетным номером, который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состоит из учетного номера кадастрового округа, разделителя в виде знака «-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(тире), учетного номера кадастрового района, расположенного в границах такого кадастрового округа, разделителя в виде знака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«-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(тире) и порядкового номера записи о перечне геоде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зических пунктов в ЕГРН (применяются десятичные числа, записанные арабскими цифрами, максимальное количество знаков в учетном номере не ограничивается). Перечень геодезических пунктов включает в себя записи о геодезических пунктах, расположенных в пределах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территории одного кадастрового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округа.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Каждой записи о геодезическом пункте в перечне координат геодезических пунктов присваивается учетный номер, который состоит из учетного номера перечня геодезических пунктов, разделителя в виде знака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«-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(тире) и поря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дкового номера геодезического пункта в ЕГРН (применяются десятичные числа, записанные арабскими цифрами, максимальное количество знаков в учетном номере не ограничивается).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2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Пункт 112 изложен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новой редакции: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contextualSpacing/>
              <w:ind w:left="0" w:righ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112. Каждый перечень координат пунктов геодезической основы в местных системах координат, установленных в отношении кадастровых округов (далее - перечень геодезических пунктов, геодезические пункты соответственно), идентифицируется учетным номером, который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состоит из учетного номера кадастрового округа, разделителя в виде знака «-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(тире), учетного номера кадастрового района, расположенного в границах такого кадастрового округа, разделителя в виде знака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«-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(тире) и порядкового номера записи о перечне геоде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зических пунктов в ЕГРН (применяются десятичные числа, записанные арабскими цифрами, максимальное количество знаков в учетном номере не ограничивается). Перечень геодезических пунктов включает в себя записи о геодезических пунктах, расположенных в пределах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территории одного кадастрового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 w:val="0"/>
                <w:color w:val="000000"/>
                <w:sz w:val="28"/>
                <w:szCs w:val="28"/>
                <w:u w:val="none"/>
              </w:rPr>
              <w:t xml:space="preserve">района.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color w:val="000000"/>
                <w:sz w:val="28"/>
                <w:szCs w:val="28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color w:val="000000"/>
                <w:sz w:val="28"/>
                <w:szCs w:val="28"/>
                <w:u w:val="non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аждой записи о геодезическом пункте в перечне координат геодезических пунктов присваивается учетный номер, который состоит из учетного номера перечня геодезических пунктов, разделителя в виде знака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«-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(тире) и поря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дкового номера геодезического пункта в ЕГРН (применяются десятичные числа, записанные арабскими цифрами, максимальное количество знаков в учетном номере не ограничивается).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>
          <w:trHeight w:val="526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117. В записи о геодезическом пункте указываются следующие дополнительные сведения о состоянии наружного знака пункта, центра пункта, марки пункта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(на основании межевого плана или технического плана)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1) дата обследования состояния наружного знака пункта, центра пункта, марки пункта при выполнении кадастровых работ (при наличии);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2) слова «пригоден для использования», «уничтожен», «поврежден» или «не найден».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Изменение указанных в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настоящем пункте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сведений о геодезическом пункте не осуществляется, если указанные в межевом плане или техническом плане сведения о состоянии наружного знака геодезического пункта, центра пункта, марки пункта соответствуют сведениям 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записи ЕГРН о геодезическом пункте.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В случае изменения состояния геодезического пункта с «пригоден для использования» на «поврежден», «уничтожен» или «не найден» в записи о геодезическом пункте изменяются соответствующие сведения с указанием даты обследов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ания состояния наружного знака пункта, центра пункта, марки пункта.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</w:r>
          </w:p>
          <w:p>
            <w:r/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2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Пункт 117 изложен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новой редакции: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117. В записи о геодезическом пункте указываются следующие дополнительные сведения о состоянии наружного знака пункта, центра пункта, марки пункта: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1) дата обследования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(осмотра кадастровым инженером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) состояния наружного знака пункта, центра пункта, марки пункта при выполнении кадастровых работ (при наличии),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сведения о состоянии наружного знака пункта, центра пункта, марки пункта («сохранился», «разр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ушен (поврежден)», «утрачен», «отсутствует»);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2) слова «пригоден для использования», «уничтожен», «поврежден» или «не найден».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Изменение указанных в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подпункте 1 настоящего пункта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сведений о геодезическом пункте не осуществляется, если: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указанные в межевом плане, техническом плане или карте-плане территории сведения о состоянии наружного знака геодезического пункта, центра пункта, марки пункта соответствуют сведениям в записи ЕГРН о геодезическом пункте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независимо от указанной в подготовл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енном кадастровым инженером документе даты обследования (осмотра кадастровым инженером) геодезического пункта;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указанные в межевом плане, техническом плане или карте-плане территории сведения о состоянии наружного знака геодезического пункта, центра пункта, марки пункта не соответствуют сведениям в записи ЕГРН о геодезическом пункте и указанная в межевом плане, тех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ническом плане или карте-плане территории дата обследования (осмотра кадастровым инженером) состояния ге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одезического пункта предшествует содержащейся в ЕГРН дате обс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ледования (осмотра кадастровым инженером) геодезического пункта.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>
          <w:trHeight w:val="526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118.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Основные сведения о геодезических пунктах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подлежат внесению, изменению, исключению из ЕГРН на основании сведений, содержащихся в федеральном фонде пространственных данных и представленных для внесения в ЕГРН в порядке, установленном в соответствии с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частью 3 статьи 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Федерального закона № 218-ФЗ.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2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Пункт 117 изложен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новой редакции: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118.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Основные сведения о геодезических пунктах и дополнительные сведения, предусмотренные подпунктом 2 пункта 117 настоящего Порядка,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подлежат внесению, изменению, исключению из ЕГРН на основании сведений, содержащихся в федеральном фонде пространственных данных и представленных для внесения в ЕГРН в порядке, установленном в соответствии с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частью 3 статьи 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Федерального закона № 218-ФЗ.</w:t>
            </w:r>
            <w:r/>
            <w:r/>
          </w:p>
          <w:p>
            <w:pPr>
              <w:contextualSpacing/>
              <w:ind w:left="0" w:right="0" w:firstLine="425"/>
              <w:jc w:val="both"/>
              <w:spacing w:after="0"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contextualSpacing/>
              <w:ind w:left="0" w:right="0" w:firstLine="425"/>
              <w:jc w:val="both"/>
              <w:spacing w:after="0"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contextualSpacing/>
              <w:ind w:left="0" w:right="0" w:firstLine="425"/>
              <w:jc w:val="both"/>
              <w:spacing w:after="0"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contextualSpacing/>
              <w:ind w:left="0" w:right="0" w:firstLine="425"/>
              <w:jc w:val="both"/>
              <w:spacing w:after="0"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contextualSpacing/>
              <w:ind w:left="0" w:right="0" w:firstLine="425"/>
              <w:jc w:val="both"/>
              <w:spacing w:after="0"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contextualSpacing/>
              <w:ind w:left="0" w:right="0" w:firstLine="425"/>
              <w:jc w:val="both"/>
              <w:spacing w:after="0"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contextualSpacing/>
              <w:ind w:left="0" w:right="0" w:firstLine="425"/>
              <w:jc w:val="both"/>
              <w:spacing w:after="0"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contextualSpacing/>
              <w:ind w:left="0" w:right="0" w:firstLine="425"/>
              <w:jc w:val="both"/>
              <w:spacing w:after="0"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</w:p>
        </w:tc>
      </w:tr>
    </w:tbl>
    <w:tbl>
      <w:tblPr>
        <w:tblW w:w="1542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81"/>
        <w:gridCol w:w="7841"/>
      </w:tblGrid>
      <w:tr>
        <w:tblPrEx/>
        <w:trPr>
          <w:trHeight w:val="31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«Стар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дакция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Приказа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/0592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1" w:type="dxa"/>
            <w:vMerge w:val="restart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«Нов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дакция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Приказа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/0592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</w:p>
        </w:tc>
      </w:tr>
      <w:tr>
        <w:tblPrEx/>
        <w:trPr>
          <w:trHeight w:val="3261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Средства усиленной квалифицированной электронной подписи кадастрового инженера должны быть сертифицированы в соответствии с законодательством Российской Федерации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и совместимы со средствами квалифицированной электронной подписи, применяемыми Росреестром и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территориальными органами Росреестра, подведомственным ему учреждением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. Электронная подпись кадастрового инженера должна быть действительна на момент подписания межевого плана.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Абзац четвертый пункта 14 приложения № 2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изложен в новой редакции: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Средства усиленной квалифицированной электронной подписи кадастрового инженера должны быть сертифицированы в соответствии с законодательством Российской Федерации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. Электронная подпись кадастрового инженера должна быть действительна на момент подписания межевого плана.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>
          <w:trHeight w:val="526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Информация о требованиях к совместимости, квалифицированному сертификату ключа электронной подписи, обеспечению возможности подтверждения подлинности усиленной квалифицированной электронной подписи кадастрового инженера размещается на официальном сайте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1" w:type="dxa"/>
            <w:vMerge w:val="restart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Абзац пятый пункта 14 приложения № 2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утратил силу.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</w:p>
          <w:p>
            <w:pPr>
              <w:contextualSpacing/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r/>
            <w:r/>
          </w:p>
        </w:tc>
      </w:tr>
      <w:tr>
        <w:tblPrEx/>
        <w:trPr>
          <w:trHeight w:val="3052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r/>
            <w:r/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Об использованных при выполнении кадастровых работ и подготовке межевого плана пунктах геодезической сети 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разделе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«Исходные данные» указываются следующие сведения: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1) в отношении пунктов государственной геодезической сети - наименование и реквизиты документа о предоставлении данных,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находящихся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в федеральном фонде пространственных данных;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2) в отношении пунктов геодезических сетей специального назначения (за исключением пунктов сетей дифференциальных геодезических станций), созданных в соответствии с законодательством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Российской Федерации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о геодезии и картографии, - наименование и реквизиты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документа о предоставлении данных,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  <w:t xml:space="preserve">находящихся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в федеральном фонде пространственных данных, фондах пространственных данных субъектов Российской Федерации или в государственном фонде данных,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олученных в результате проведения землеустройства;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1" w:type="dxa"/>
            <w:vMerge w:val="restart"/>
            <w:textDirection w:val="lrTb"/>
            <w:noWrap w:val="false"/>
          </w:tcPr>
          <w:p>
            <w:pPr>
              <w:ind w:left="0" w:right="0" w:firstLine="540"/>
              <w:jc w:val="both"/>
              <w:spacing w:before="0" w:after="0" w:line="288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Пп. 1 и 2 п. 33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приложения № 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изложены в новой редакции: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Об использованных при выполнении кадастровых работ и подготовке межевого плана пунктах геодезической сети 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разделе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«Исходные данные» указываются следующие сведения: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1) в отношении пунктов государственной геодезической сети - наименование и реквизиты документа о предоставлении данных,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 w:val="0"/>
                <w:color w:val="000000"/>
                <w:sz w:val="28"/>
                <w:szCs w:val="28"/>
              </w:rPr>
              <w:t xml:space="preserve">содержащихся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в федеральном фонде пространственных данных;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2) в отношении пунктов геодезических сетей специального назначения (за исключением пунктов сетей дифференциальных геодезических станций), созданных в соответствии с законодательством о геодезии и картографии, - наименование и реквизиты документа о предоста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влении данных,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одержащихся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в федеральном фонде пространственных данных;</w:t>
              <w:br/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r/>
            <w:r/>
          </w:p>
        </w:tc>
      </w:tr>
      <w:tr>
        <w:tblPrEx/>
        <w:trPr>
          <w:trHeight w:val="526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Дата обследования состояния наружного знака пункта, центра пункта, марки центра пункта указывается в соответствующей строке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реквизита «1»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раздела «Сведения о пунктах геодезической сети и средствах измерений». Дата обследования состояния наружного знака пункта, центра пункта, марки центра пункта может не соответствовать периоду выполнения кадастровых работ.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Абзац второй подпункта 5 пункта 34 приложения № 2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изложен в новой редакции: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Дата обследования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(осмотра кадастровым инженером)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состояния наружного знака пункта, центра пункта, марки центра пункта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(далее - дата обследования)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указывается в соответствующей строке реквизита «1» раздела «Сведения о пунктах геодезической сети и средствах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измерений». Дата обследования может не соответствовать периоду выполнения кадастровых работ.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>
          <w:trHeight w:val="526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69. В указанных 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пункте 68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настоящих требований случаях 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разделе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«Заключение кадастрового инженера» в виде связного текста приводятся: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сведения о причинах несоответствия даты обследования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пункта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и периода выполнения кадастровых работ;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Абзац второй  пункта 69 приложения № 2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изложен в новой редакции: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69. В указанных 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пункте 68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настоящих требований случаях 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разделе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«Заключение кадастрового инженера» в виде связного текста приводятся: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сведения о причинах несоответствия даты обследования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 периода выполнения кадастровых работ;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>
          <w:trHeight w:val="526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«Стар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дакция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Приказа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/0082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1" w:type="dxa"/>
            <w:vMerge w:val="restart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«Нов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дакция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Приказа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/0082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</w:p>
        </w:tc>
      </w:tr>
      <w:tr>
        <w:tblPrEx/>
        <w:trPr>
          <w:trHeight w:val="526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r/>
            <w:r/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23.2. Средства усиленной квалифицированной электронной подписи кадастрового инженера должны быть сертифицированы в соответствии с законодательством Российской Федерации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и совместимы со средствами квалифицированной электронной подписи, применяемыми Росреест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ром и территориальными органами Росреестра, публично-правовой компанией &lt;36&gt;, созданной в соответствии с Федеральным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законом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 от 30 декабря 2021 г. N 448-ФЗ «О публично-правовой компании «Роскадастр» &lt;37&gt;, указанной в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части 1 статьи 3.1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 Федерального закона № 218-ФЗ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&lt;38&gt;.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Информация о требованиях к совместимости, квалифицированному сертификату ключа электронной подписи, обеспечению возможности подтверждения подлинности усиленной квалифицированной электронной подписи кадастрового инженера размещается на официальном сайте.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Абзац первый и второй пункта 23.2 приложения № 2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изложены в новой редакции: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23.2. Средства усиленной квалифицированной электронной подписи кадастрового инженера должны быть сертифицированы в соответствии с законодательством Российской Федерации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>
          <w:trHeight w:val="526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r/>
            <w:r/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&lt;36&gt; В соответствии с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частью 3 статьи 14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 Федерального закона от 30 декабря 2021 г. № 449-ФЗ «О внесении изменений в отдельные законодательные акты Российской Федерации» (Собрание законодательства Российской Федерации, 2022, N 1, ст. 18) функции, полномочия и деятельность, осуществление которых в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озлагается на публично-правовую компанию «Роскадастр» в соответствии с Федеральным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законом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 от 30 декабря 2021 г. № 448-ФЗ «О публично-правовой компании «Роскадастр» (Собрание законодательства Российской Федерации, 2022, № 1, ст. 17), осуществляются федеральным государственным бюджетным учреждением, указанным в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статье 3.1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 Федерального закона N 218-ФЗ (Собрание законодательства Российской Федерации, 2015, № 29, ст. 4344; 2022, № 1, ст. 62) в редакции, действовавшей до дня вступления в силу Федерального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закона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 от 30 декабря 2021 г. № 449-ФЗ «О внесении изменений в отдельные законодательные акты Российской Федерации», до завершения процедуры его реорганизации в соответствии с Федеральным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законом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 от 30 декабря 2021 г. № 448-ФЗ «О публично-правовой компании «Роскадастр».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&lt;37&gt; Собрание законодательства Российской Федерации, 2022, № 1, ст. 17.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&lt;38&gt; Собрание законодательства Российской Федерации, 2015, № 29, ст. 4344; 2021, № 18, ст. 3064; 2022, № 1, ст. 18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1" w:type="dxa"/>
            <w:vMerge w:val="restart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оски 36-38 к первому абзацу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пункта 23.2 приложения № 2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ис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ключены.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0" w:right="0" w:firstLine="567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r/>
            <w:r/>
          </w:p>
        </w:tc>
      </w:tr>
      <w:tr>
        <w:tblPrEx/>
        <w:trPr>
          <w:trHeight w:val="526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Об использованных при выполнении кадастровых работ и подготовке технического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плана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пунктах геодезической сети 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разделе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«Исходные данные» указываются следующие сведения: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в отношении пунктов государственной геодезической сети - наименование и реквизиты документа о предоставлении данных,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находящихся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в федеральном фонде пространственных данных;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b/>
                <w:bCs/>
                <w:i/>
                <w:strike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в отношении пунктов геодезических сетей специального назначения (за исключением пунктов сетей дифференциальных геодезических станций), созданных в соответствии с законодательством о геодезии и картографии, - наименование и реквизиты документа о предоставле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нии данных,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находящихся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в федеральном фонде пространственных данных, фондах пространственных данных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субъектов Российской Федерации или в государственном фонде данных, полученных в результате проведения землеустройства;</w:t>
            </w:r>
            <w:r>
              <w:rPr>
                <w:b/>
                <w:bCs/>
                <w:i/>
                <w:strike/>
              </w:rPr>
            </w:r>
            <w:r>
              <w:rPr>
                <w:b/>
                <w:bCs/>
                <w:i/>
                <w:strike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Абзац пятый и шестой пункта 30 приложения № 2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изложены в новой редакции: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Об использованных при выполнении кадастровых работ и подготовке технического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плана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пунктах геодезической сети 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разделе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«Исходные данные» указываются следующие сведения: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в отношении пунктов государственной геодезической сети - наименование и реквизиты документа о предоставлении данных,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 w:val="0"/>
                <w:color w:val="000000"/>
                <w:sz w:val="28"/>
                <w:szCs w:val="28"/>
              </w:rPr>
              <w:t xml:space="preserve">содержащихся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в федеральном фонде пространственных данных;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в отношении пунктов геодезических сетей специального назначения (за исключением пунктов сетей дифференциальных геодезических станций), созданных в соответствии с законодательством о геодезии и картографии, - наименование и реквизиты документа о предоставле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нии данных,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содержащихся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в федеральном фонде пространственных данных;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>
          <w:trHeight w:val="526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Дата обследования состояния наружного знака пункта, центра пункта, марки центра пункта указывается в соответствующей строке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реквизита «1»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раздела «Сведения о пунктах геодезической сети и средствах измерений». Дата обследования состояния наружного знака пункта, центра пункта, марки центра пункта может не соответствовать периоду выполнения кадастровых работ.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Абзац второй подпункта 5 пункта 31 приложения № 2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изложен в новой редакции: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Дата обследования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(осмотра кадастровым инженером)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состояния наружного знака пункта, центра пункта, марки центра пункта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(далее - дата обследования)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указывается в соответствующей строке реквизита «1» раздела «Сведения о пунктах геодезической сети и средствах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измерений». Дата обследования может не соответствовать периоду выполнения кадастровых работ.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>
          <w:trHeight w:val="526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58. В случае если, по мнению кадастрового инженера, необходимо дополнительное обоснование результатов кадастровых работ,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раздел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«Заключение кадастрового инженера» оформляется в виде связного текста, в том числе в этом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разделе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приводятся: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сведения о причинах несоответствия даты обследования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пункта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и периода выполнения кадастровых работ;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Абзац второй пункта 58 приложения № 2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изложен в новой редакции: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58. В случае если, по мнению кадастрового инженера, необходимо дополнительное обоснование результатов кадастровых работ,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раздел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«Заключение кадастрового инженера» оформляется в виде связного текста, в том числе в этом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разделе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приводятся: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сведения о причинах несоответствия даты обследования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 периода выполнения кадастровых работ;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r/>
            <w:r/>
          </w:p>
        </w:tc>
      </w:tr>
    </w:tbl>
    <w:tbl>
      <w:tblPr>
        <w:tblW w:w="1542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81"/>
        <w:gridCol w:w="7841"/>
      </w:tblGrid>
      <w:tr>
        <w:tblPrEx/>
        <w:trPr>
          <w:trHeight w:val="29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«Стар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дакция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Приказа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/0337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1" w:type="dxa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Приказа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/0337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r>
          </w:p>
        </w:tc>
      </w:tr>
      <w:tr>
        <w:tblPrEx/>
        <w:trPr>
          <w:trHeight w:val="2856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textDirection w:val="lrTb"/>
            <w:noWrap w:val="false"/>
          </w:tcPr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Средства усиленной квалифицированной электронной подписи кадастрового инженера должны быть сертифицированы в соответствии с законодательством Российской Федерации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и совместимы со средствами усиленной квалифицированной электронной подписи, применяемыми Роср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еестром, его территориальными органами и публично-правовой компанией, указанной в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части 1 статьи 3.1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 Федерального закона N 218-ФЗ &lt;9(1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trike/>
                <w:color w:val="000000"/>
                <w:sz w:val="28"/>
                <w:szCs w:val="28"/>
              </w:rPr>
              <w:t xml:space="preserve">)&gt;.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1" w:type="dxa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Абзац пятый пункта 15 приложения № 2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изложен в новой редакции: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</w:p>
          <w:p>
            <w:pPr>
              <w:ind w:firstLine="540"/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Средства усиленной квалифицированной электронной подписи кадастрового инженера должны быть сертифицированы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  <w:t xml:space="preserve"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</w:p>
        </w:tc>
      </w:tr>
      <w:tr>
        <w:tblPrEx/>
        <w:trPr>
          <w:trHeight w:val="6831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textDirection w:val="lrTb"/>
            <w:noWrap w:val="false"/>
          </w:tcPr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&lt;9(1)&gt; В соответствии с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частью 3 статьи 14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 Федерального закона от 30 декабря 2021 г. N 449-ФЗ «О внесении изменений в отдельные законодательные акты Российской Федерации» (Собрание законодательства Российской Федерации, 2022, N 1, ст. 18) функции, полномочия и деятельность, осуществление которых в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озлагается на публично-правовую компанию «Роскадастр» в соответствии с Федеральным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законом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 от 30 декабря 2021 г. N 448-ФЗ «О публично-правовой компании «Роскадастр» (Собрание законодательства Российской Федерации, 2022, N 1, ст. 17), осуществляются федеральным государственным бюджетным учреждением, указанным в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статье 3.1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 Федерального закона от 13 июля 2015 г. N 218-ФЗ «О государственной регистрации недвижимости» (Собрание законодательства Российской Федерации, 2015, N 29, ст. 4344; 2022, N 1, ст. 18) в редакции, действовавшей до дня вступления в силу Федерального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закона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 от 30 декабря 2021 г. N 449-ФЗ «О внесении изменений в отдельные законодательные акты Российской Федерации», до завершения процедуры его реорганизации в соответствии с Федеральным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законом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 от 30 декабря 2021 г. N 448-ФЗ «О публично-правовой компании «Роскадастр».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1" w:type="dxa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оска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&lt;9(1)&gt;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ис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ключена.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0" w:right="0" w:firstLine="567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</w:tr>
      <w:tr>
        <w:tblPrEx/>
        <w:trPr>
          <w:trHeight w:val="2052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textDirection w:val="lrTb"/>
            <w:noWrap w:val="false"/>
          </w:tcPr>
          <w:p>
            <w:pPr>
              <w:ind w:left="0" w:right="0" w:firstLine="540"/>
              <w:jc w:val="both"/>
              <w:spacing w:before="0" w:after="0" w:line="288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Информация о требованиях к совместимости, квалифицированному сертификату ключа проверки электронной подписи, обеспечению возможности подтверждения подлинности усиленной квалифицированной электронной подписи кадастрового инженера размещается на официальном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сайте.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1" w:type="dxa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Абзац шестой пункта 15 приложения № 2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утратил силу.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</w:p>
          <w:p>
            <w:pPr>
              <w:contextualSpacing/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5769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Об использованных при выполнении комплексных кадастровых работ и подготовке карта-плана территории пунктах геодезической сети 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реквизите «6»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раздела «Пояснительная записка» указываются следующие сведения: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1) в отношении пунктов государственной геодезической сети - наименование и реквизиты документа о предоставлении данных,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  <w:u w:val="none"/>
              </w:rPr>
              <w:t xml:space="preserve">находящихся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в федеральном фонде пространственных данных;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2) в отношении пунктов геодезических сетей специального назначения (за исключением пунктов сетей дифференциальных геодезических станций), созданных в соответствии с законодательством о геодезии и картографии, - наименование и реквизиты документа о предоста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влении данных,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находящихся в федеральном фонде пространственных данных, фондах пространственных данных субъектов Российской Федерации или в государственном фонде данных, полученных в результате проведения землеустройства;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1" w:type="dxa"/>
            <w:vMerge w:val="restart"/>
            <w:textDirection w:val="lrTb"/>
            <w:noWrap w:val="false"/>
          </w:tcPr>
          <w:p>
            <w:pPr>
              <w:ind w:left="0" w:right="0" w:firstLine="540"/>
              <w:jc w:val="both"/>
              <w:spacing w:before="0" w:after="0" w:line="288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Пп. 1 и 2 п. 27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приложения № 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изложены в новой редакции: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Об использованных при выполнении комплексных кадастровых работ и подготовке карта-плана территории пунктах геодезической сети 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реквизите «6»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раздела «Пояснительная записка» указываются следующие сведения: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trike w:val="0"/>
                <w:color w:val="000000"/>
                <w:sz w:val="28"/>
                <w:szCs w:val="28"/>
                <w:u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1) в отношении пунктов государственной геодезической сети - наименование и реквизиты документа о предоставлении данных,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 w:val="0"/>
                <w:color w:val="000000"/>
                <w:sz w:val="28"/>
                <w:szCs w:val="28"/>
                <w:u w:val="none"/>
              </w:rPr>
              <w:t xml:space="preserve">содержащихся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в федеральном фонде пространственных данных;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 w:val="0"/>
                <w:color w:val="000000"/>
                <w:sz w:val="28"/>
                <w:szCs w:val="28"/>
                <w:u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 w:val="0"/>
                <w:color w:val="000000"/>
                <w:sz w:val="28"/>
                <w:szCs w:val="28"/>
                <w:u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2)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в отношении пунктов геодезических сетей специального назначения (за исключением пунктов сетей дифференциальных геодезических станций), созданных в соответствии с законодательством о геодезии и картографии, - наименование и реквизиты документа о предоставле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нии данных,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одержащихся в федеральном фонде пространственных данных;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>
          <w:trHeight w:val="501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425"/>
              <w:jc w:val="both"/>
              <w:spacing w:after="0"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  <w:r/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Дата обследования состояния наружного знака пункта, центра пункта, марки центра пункта указывается в соответствующей строке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реквизита «1»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раздела «Сведения о пунктах геодезической сети и средствах измерений». Дата обследования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состояния наружного знака пункта, центра пункта, марки центра пункта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может не соответствовать периоду выполнения комплексных кадастровых работ.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Несоответствие даты обследования и периода выполнения комплексных кадастровых работ не является нарушением настоящих требований. При этом кадастровым инженером 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реквизите «7»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раздела «Пояснительная записка» приводятся пояснения относительно несоответствия даты обследования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состояния наружного знака пункта, центра пункта, марки центра пункта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и периода выполнения комплексных кадастровых работ.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1" w:type="dxa"/>
            <w:vMerge w:val="restart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Абзац второй и третий пункта 29 приложения № 2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изложены в новой редакции: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Дата обследования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(осмотра кадастровым инженером)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состояния наружного знака пункта, центра пункта, марки центра пункта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(далее - дата обследования)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указывается в соответствующей строке реквизита «1» раздела «Сведения о пунктах геодезической сети и средствах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измерений». Дата обследования может не соответствовать периоду выполнения комплексных кадастровых работ.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Несоответствие даты обследования и периода выполнения комплексных кадастровых работ не является нарушением настоящих требований. При этом кадастровым инженером 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реквизите «7»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раздела «Пояснительная записка» приводятся пояснения относительно несоответствия даты обследования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и периода выполнения комплексных кадастровых работ.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>
          <w:trHeight w:val="448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r/>
            <w:r/>
            <w:r/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Акт согласования в виде электронного документа изготавливается в виде файла в формате PDF, подписанного усиленной квалифицированной электронной подписью председателя согласительной комиссии. Средства усиленной квалифицированной электронной подписи председа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теля согласительной комиссии должны быть сертифицированы в соответствии с законодательством Российской Федерации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и совместимы со средствами усиленной квалифицированной электронной подписи, применяемыми Росреестром, его территориальными органами и публично-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правовой компанией, указанной в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части 1 статьи 3.1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 Федерального закона от 13 июля 2015 г. № 218-ФЗ «О государственной регистрации недвижимости» &lt;1(1)&gt;.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trike/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1" w:type="dxa"/>
            <w:vMerge w:val="restart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Абзац второй пункта 2 приложения № 4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изложен в новой редакции: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</w:p>
          <w:p>
            <w:pPr>
              <w:ind w:left="0" w:right="0" w:firstLine="567"/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Акт согласования в виде электронного документа изготавливается в виде файла в формате PDF, подписанного усиленной квалифицированной электронной подписью председателя согласительной комиссии. Средства усиленной квалифицированной электронной подписи председа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теля согласительной комиссии должны быть сертифицированы в соответствии с законодательством Российской Федерации</w:t>
            </w:r>
            <w:r>
              <w:t xml:space="preserve">.</w:t>
            </w:r>
            <w:r/>
            <w:r/>
          </w:p>
        </w:tc>
      </w:tr>
      <w:tr>
        <w:tblPrEx/>
        <w:trPr>
          <w:trHeight w:val="661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&lt;1(1)&gt; В соответствии с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частью 3 статьи 14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Федерального закона от 30 декабря 2021 г. № 449-ФЗ «О внесении изменений в отдельные законодательные акты Российской Федерации» (Собрание законодательства Российской Федерации, 2022, № 1, ст. 18) функции, полномочия и деятельность, осуществление которых 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озлагается на публично-правовую компанию «Роскадастр» в соответствии с Федеральным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законом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от 30 декабря 2021 г. № 448-ФЗ «О публично-правовой компании «Роскадастр» (Собрание законодательства Российской Федерации, 2022, № 1, ст. 17), осуществляются федеральным государственным бюджетным учреждением, указанным 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статье 3.1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Федерального закона от 13 июля 2015 г. № 218-ФЗ «О государственной регистрации недвижимости» (Собрание законодательства Российской Федерации, 2015, № 29, ст. 4344; 2022, № 1, ст. 18) в редакции, действовавшей до дня вступления в силу Федерального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закона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от 30 декабря 2021 г. № 449-ФЗ «О внесении изменений в отдельные законодательные акты Российской Федерации», до завершения процедуры его реорганизации в соответствии с Федеральным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законом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от 30 декабря 2021 г. № 448-ФЗ «О публично-правовой компании «Роскадастр».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1" w:type="dxa"/>
            <w:vMerge w:val="restart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оска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&lt;1(1)&gt;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ис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ключена.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0" w:right="0" w:firstLine="567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r/>
            <w:r/>
            <w:r/>
          </w:p>
        </w:tc>
      </w:tr>
    </w:tbl>
    <w:tbl>
      <w:tblPr>
        <w:tblW w:w="1542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81"/>
        <w:gridCol w:w="7841"/>
      </w:tblGrid>
      <w:tr>
        <w:tblPrEx/>
        <w:trPr>
          <w:trHeight w:val="526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«Стар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дакция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Приказа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/0414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1" w:type="dxa"/>
            <w:vMerge w:val="restart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«Нов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дакция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Приказа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/0414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</w:p>
        </w:tc>
      </w:tr>
      <w:tr>
        <w:tblPrEx/>
        <w:trPr>
          <w:trHeight w:val="526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58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3. Внесение сведений о геодезической основе ЕГРН во ФГИС ЕГРН осуществляется с использованием телекоммуникационных каналов связи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в форме электронного документа, удостоверенного усиленной квалифицированной электронной подписью подготовившего его уполномочен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trike/>
                <w:color w:val="000000"/>
                <w:sz w:val="28"/>
                <w:szCs w:val="28"/>
              </w:rPr>
              <w:t xml:space="preserve">ного должностного лица публично-правовой компании,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в виде файлов данных в формате XML, созданных с использованием введенных в действие XML-схем и обеспечивающих считывание и контроль предоставленных данных.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80" w:type="dxa"/>
              <w:top w:w="60" w:type="dxa"/>
              <w:right w:w="80" w:type="dxa"/>
              <w:bottom w:w="60" w:type="dxa"/>
            </w:tcMar>
            <w:tcW w:w="7841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Пункт 3 изложен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новой редакции: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contextualSpacing/>
              <w:ind w:left="0" w:right="0" w:firstLine="42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3. Внесение сведений о геодезической основе ЕГРН во ФГИС ЕГРН осуществляется с использованием телекоммуникационных каналов связи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на основании электронного документа, удостоверенного усиленной квалифицированной электронной подписью публично-правовой компании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в виде файлов данных в формате XML, созданных с использованием введенных в действие XML-схем и обеспечивающих считывание и контроль предоставленных данных.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567"/>
            </w:pPr>
            <w:r/>
            <w:r/>
            <w:r/>
          </w:p>
        </w:tc>
      </w:tr>
    </w:tbl>
    <w:p>
      <w:r/>
      <w:r/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F">
    <w:panose1 w:val="02000603000000000000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320426760"/>
      <w:docPartObj>
        <w:docPartGallery w:val="Page Numbers (Bottom of Page)"/>
        <w:docPartUnique w:val="true"/>
      </w:docPartObj>
      <w:rPr/>
    </w:sdtPr>
    <w:sdtContent>
      <w:p>
        <w:pPr>
          <w:pStyle w:val="9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  <w:p>
    <w:pPr>
      <w:pStyle w:val="91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3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1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8">
    <w:name w:val="Heading 1"/>
    <w:basedOn w:val="903"/>
    <w:next w:val="903"/>
    <w:link w:val="72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9">
    <w:name w:val="Heading 1 Char"/>
    <w:basedOn w:val="904"/>
    <w:link w:val="728"/>
    <w:uiPriority w:val="9"/>
    <w:rPr>
      <w:rFonts w:ascii="Arial" w:hAnsi="Arial" w:eastAsia="Arial" w:cs="Arial"/>
      <w:sz w:val="40"/>
      <w:szCs w:val="40"/>
    </w:rPr>
  </w:style>
  <w:style w:type="paragraph" w:styleId="730">
    <w:name w:val="Heading 2"/>
    <w:basedOn w:val="903"/>
    <w:next w:val="903"/>
    <w:link w:val="73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1">
    <w:name w:val="Heading 2 Char"/>
    <w:basedOn w:val="904"/>
    <w:link w:val="730"/>
    <w:uiPriority w:val="9"/>
    <w:rPr>
      <w:rFonts w:ascii="Arial" w:hAnsi="Arial" w:eastAsia="Arial" w:cs="Arial"/>
      <w:sz w:val="34"/>
    </w:rPr>
  </w:style>
  <w:style w:type="paragraph" w:styleId="732">
    <w:name w:val="Heading 3"/>
    <w:basedOn w:val="903"/>
    <w:next w:val="903"/>
    <w:link w:val="73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3">
    <w:name w:val="Heading 3 Char"/>
    <w:basedOn w:val="904"/>
    <w:link w:val="732"/>
    <w:uiPriority w:val="9"/>
    <w:rPr>
      <w:rFonts w:ascii="Arial" w:hAnsi="Arial" w:eastAsia="Arial" w:cs="Arial"/>
      <w:sz w:val="30"/>
      <w:szCs w:val="30"/>
    </w:rPr>
  </w:style>
  <w:style w:type="paragraph" w:styleId="734">
    <w:name w:val="Heading 4"/>
    <w:basedOn w:val="903"/>
    <w:next w:val="903"/>
    <w:link w:val="73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5">
    <w:name w:val="Heading 4 Char"/>
    <w:basedOn w:val="904"/>
    <w:link w:val="734"/>
    <w:uiPriority w:val="9"/>
    <w:rPr>
      <w:rFonts w:ascii="Arial" w:hAnsi="Arial" w:eastAsia="Arial" w:cs="Arial"/>
      <w:b/>
      <w:bCs/>
      <w:sz w:val="26"/>
      <w:szCs w:val="26"/>
    </w:rPr>
  </w:style>
  <w:style w:type="paragraph" w:styleId="736">
    <w:name w:val="Heading 5"/>
    <w:basedOn w:val="903"/>
    <w:next w:val="903"/>
    <w:link w:val="73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7">
    <w:name w:val="Heading 5 Char"/>
    <w:basedOn w:val="904"/>
    <w:link w:val="736"/>
    <w:uiPriority w:val="9"/>
    <w:rPr>
      <w:rFonts w:ascii="Arial" w:hAnsi="Arial" w:eastAsia="Arial" w:cs="Arial"/>
      <w:b/>
      <w:bCs/>
      <w:sz w:val="24"/>
      <w:szCs w:val="24"/>
    </w:rPr>
  </w:style>
  <w:style w:type="paragraph" w:styleId="738">
    <w:name w:val="Heading 6"/>
    <w:basedOn w:val="903"/>
    <w:next w:val="903"/>
    <w:link w:val="73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9">
    <w:name w:val="Heading 6 Char"/>
    <w:basedOn w:val="904"/>
    <w:link w:val="738"/>
    <w:uiPriority w:val="9"/>
    <w:rPr>
      <w:rFonts w:ascii="Arial" w:hAnsi="Arial" w:eastAsia="Arial" w:cs="Arial"/>
      <w:b/>
      <w:bCs/>
      <w:sz w:val="22"/>
      <w:szCs w:val="22"/>
    </w:rPr>
  </w:style>
  <w:style w:type="paragraph" w:styleId="740">
    <w:name w:val="Heading 7"/>
    <w:basedOn w:val="903"/>
    <w:next w:val="903"/>
    <w:link w:val="74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1">
    <w:name w:val="Heading 7 Char"/>
    <w:basedOn w:val="904"/>
    <w:link w:val="74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2">
    <w:name w:val="Heading 8"/>
    <w:basedOn w:val="903"/>
    <w:next w:val="903"/>
    <w:link w:val="74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3">
    <w:name w:val="Heading 8 Char"/>
    <w:basedOn w:val="904"/>
    <w:link w:val="742"/>
    <w:uiPriority w:val="9"/>
    <w:rPr>
      <w:rFonts w:ascii="Arial" w:hAnsi="Arial" w:eastAsia="Arial" w:cs="Arial"/>
      <w:i/>
      <w:iCs/>
      <w:sz w:val="22"/>
      <w:szCs w:val="22"/>
    </w:rPr>
  </w:style>
  <w:style w:type="paragraph" w:styleId="744">
    <w:name w:val="Heading 9"/>
    <w:basedOn w:val="903"/>
    <w:next w:val="903"/>
    <w:link w:val="74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5">
    <w:name w:val="Heading 9 Char"/>
    <w:basedOn w:val="904"/>
    <w:link w:val="744"/>
    <w:uiPriority w:val="9"/>
    <w:rPr>
      <w:rFonts w:ascii="Arial" w:hAnsi="Arial" w:eastAsia="Arial" w:cs="Arial"/>
      <w:i/>
      <w:iCs/>
      <w:sz w:val="21"/>
      <w:szCs w:val="21"/>
    </w:rPr>
  </w:style>
  <w:style w:type="paragraph" w:styleId="746">
    <w:name w:val="List Paragraph"/>
    <w:basedOn w:val="903"/>
    <w:uiPriority w:val="34"/>
    <w:qFormat/>
    <w:pPr>
      <w:contextualSpacing/>
      <w:ind w:left="720"/>
    </w:pPr>
  </w:style>
  <w:style w:type="paragraph" w:styleId="747">
    <w:name w:val="No Spacing"/>
    <w:uiPriority w:val="1"/>
    <w:qFormat/>
    <w:pPr>
      <w:spacing w:before="0" w:after="0" w:line="240" w:lineRule="auto"/>
    </w:pPr>
  </w:style>
  <w:style w:type="paragraph" w:styleId="748">
    <w:name w:val="Title"/>
    <w:basedOn w:val="903"/>
    <w:next w:val="903"/>
    <w:link w:val="74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9">
    <w:name w:val="Title Char"/>
    <w:basedOn w:val="904"/>
    <w:link w:val="748"/>
    <w:uiPriority w:val="10"/>
    <w:rPr>
      <w:sz w:val="48"/>
      <w:szCs w:val="48"/>
    </w:rPr>
  </w:style>
  <w:style w:type="paragraph" w:styleId="750">
    <w:name w:val="Subtitle"/>
    <w:basedOn w:val="903"/>
    <w:next w:val="903"/>
    <w:link w:val="751"/>
    <w:uiPriority w:val="11"/>
    <w:qFormat/>
    <w:pPr>
      <w:spacing w:before="200" w:after="200"/>
    </w:pPr>
    <w:rPr>
      <w:sz w:val="24"/>
      <w:szCs w:val="24"/>
    </w:rPr>
  </w:style>
  <w:style w:type="character" w:styleId="751">
    <w:name w:val="Subtitle Char"/>
    <w:basedOn w:val="904"/>
    <w:link w:val="750"/>
    <w:uiPriority w:val="11"/>
    <w:rPr>
      <w:sz w:val="24"/>
      <w:szCs w:val="24"/>
    </w:rPr>
  </w:style>
  <w:style w:type="paragraph" w:styleId="752">
    <w:name w:val="Quote"/>
    <w:basedOn w:val="903"/>
    <w:next w:val="903"/>
    <w:link w:val="753"/>
    <w:uiPriority w:val="29"/>
    <w:qFormat/>
    <w:pPr>
      <w:ind w:left="720" w:right="720"/>
    </w:pPr>
    <w:rPr>
      <w:i/>
    </w:rPr>
  </w:style>
  <w:style w:type="character" w:styleId="753">
    <w:name w:val="Quote Char"/>
    <w:link w:val="752"/>
    <w:uiPriority w:val="29"/>
    <w:rPr>
      <w:i/>
    </w:rPr>
  </w:style>
  <w:style w:type="paragraph" w:styleId="754">
    <w:name w:val="Intense Quote"/>
    <w:basedOn w:val="903"/>
    <w:next w:val="903"/>
    <w:link w:val="75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5">
    <w:name w:val="Intense Quote Char"/>
    <w:link w:val="754"/>
    <w:uiPriority w:val="30"/>
    <w:rPr>
      <w:i/>
    </w:rPr>
  </w:style>
  <w:style w:type="character" w:styleId="756">
    <w:name w:val="Header Char"/>
    <w:basedOn w:val="904"/>
    <w:link w:val="911"/>
    <w:uiPriority w:val="99"/>
  </w:style>
  <w:style w:type="character" w:styleId="757">
    <w:name w:val="Footer Char"/>
    <w:basedOn w:val="904"/>
    <w:link w:val="913"/>
    <w:uiPriority w:val="99"/>
  </w:style>
  <w:style w:type="paragraph" w:styleId="758">
    <w:name w:val="Caption"/>
    <w:basedOn w:val="903"/>
    <w:next w:val="90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9">
    <w:name w:val="Caption Char"/>
    <w:basedOn w:val="758"/>
    <w:link w:val="913"/>
    <w:uiPriority w:val="99"/>
  </w:style>
  <w:style w:type="table" w:styleId="760">
    <w:name w:val="Table Grid"/>
    <w:basedOn w:val="90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1">
    <w:name w:val="Table Grid Light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2">
    <w:name w:val="Plain Table 1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3">
    <w:name w:val="Plain Table 2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>
    <w:name w:val="Plain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5">
    <w:name w:val="Plain Table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Plain Table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7">
    <w:name w:val="Grid Table 1 Light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4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9">
    <w:name w:val="Grid Table 4 - Accent 1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0">
    <w:name w:val="Grid Table 4 - Accent 2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1">
    <w:name w:val="Grid Table 4 - Accent 3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2">
    <w:name w:val="Grid Table 4 - Accent 4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3">
    <w:name w:val="Grid Table 4 - Accent 5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4">
    <w:name w:val="Grid Table 4 - Accent 6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5">
    <w:name w:val="Grid Table 5 Dark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6">
    <w:name w:val="Grid Table 5 Dark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7">
    <w:name w:val="Grid Table 5 Dark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8">
    <w:name w:val="Grid Table 5 Dark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9">
    <w:name w:val="Grid Table 5 Dark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2">
    <w:name w:val="Grid Table 6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3">
    <w:name w:val="Grid Table 6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4">
    <w:name w:val="Grid Table 6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5">
    <w:name w:val="Grid Table 6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6">
    <w:name w:val="Grid Table 6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7">
    <w:name w:val="Grid Table 6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8">
    <w:name w:val="Grid Table 6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9">
    <w:name w:val="Grid Table 7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4">
    <w:name w:val="List Table 2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5">
    <w:name w:val="List Table 2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6">
    <w:name w:val="List Table 2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7">
    <w:name w:val="List Table 2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8">
    <w:name w:val="List Table 2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9">
    <w:name w:val="List Table 2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0">
    <w:name w:val="List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5 Dark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6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2">
    <w:name w:val="List Table 6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3">
    <w:name w:val="List Table 6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4">
    <w:name w:val="List Table 6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5">
    <w:name w:val="List Table 6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6">
    <w:name w:val="List Table 6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7">
    <w:name w:val="List Table 6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8">
    <w:name w:val="List Table 7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9">
    <w:name w:val="List Table 7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0">
    <w:name w:val="List Table 7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1">
    <w:name w:val="List Table 7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2">
    <w:name w:val="List Table 7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3">
    <w:name w:val="List Table 7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4">
    <w:name w:val="List Table 7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5">
    <w:name w:val="Lined - Accent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6">
    <w:name w:val="Lined - Accent 1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7">
    <w:name w:val="Lined - Accent 2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8">
    <w:name w:val="Lined - Accent 3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9">
    <w:name w:val="Lined - Accent 4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0">
    <w:name w:val="Lined - Accent 5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1">
    <w:name w:val="Lined - Accent 6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2">
    <w:name w:val="Bordered &amp; Lined - Accent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3">
    <w:name w:val="Bordered &amp; Lined - Accent 1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4">
    <w:name w:val="Bordered &amp; Lined - Accent 2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5">
    <w:name w:val="Bordered &amp; Lined - Accent 3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6">
    <w:name w:val="Bordered &amp; Lined - Accent 4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7">
    <w:name w:val="Bordered &amp; Lined - Accent 5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8">
    <w:name w:val="Bordered &amp; Lined - Accent 6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9">
    <w:name w:val="Bordered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0">
    <w:name w:val="Bordered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1">
    <w:name w:val="Bordered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2">
    <w:name w:val="Bordered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3">
    <w:name w:val="Bordered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4">
    <w:name w:val="Bordered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5">
    <w:name w:val="Bordered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86">
    <w:name w:val="footnote text"/>
    <w:basedOn w:val="903"/>
    <w:link w:val="887"/>
    <w:uiPriority w:val="99"/>
    <w:semiHidden/>
    <w:unhideWhenUsed/>
    <w:pPr>
      <w:spacing w:after="40" w:line="240" w:lineRule="auto"/>
    </w:pPr>
    <w:rPr>
      <w:sz w:val="18"/>
    </w:rPr>
  </w:style>
  <w:style w:type="character" w:styleId="887">
    <w:name w:val="Footnote Text Char"/>
    <w:link w:val="886"/>
    <w:uiPriority w:val="99"/>
    <w:rPr>
      <w:sz w:val="18"/>
    </w:rPr>
  </w:style>
  <w:style w:type="character" w:styleId="888">
    <w:name w:val="footnote reference"/>
    <w:basedOn w:val="904"/>
    <w:uiPriority w:val="99"/>
    <w:unhideWhenUsed/>
    <w:rPr>
      <w:vertAlign w:val="superscript"/>
    </w:rPr>
  </w:style>
  <w:style w:type="paragraph" w:styleId="889">
    <w:name w:val="endnote text"/>
    <w:basedOn w:val="903"/>
    <w:link w:val="890"/>
    <w:uiPriority w:val="99"/>
    <w:semiHidden/>
    <w:unhideWhenUsed/>
    <w:pPr>
      <w:spacing w:after="0" w:line="240" w:lineRule="auto"/>
    </w:pPr>
    <w:rPr>
      <w:sz w:val="20"/>
    </w:rPr>
  </w:style>
  <w:style w:type="character" w:styleId="890">
    <w:name w:val="Endnote Text Char"/>
    <w:link w:val="889"/>
    <w:uiPriority w:val="99"/>
    <w:rPr>
      <w:sz w:val="20"/>
    </w:rPr>
  </w:style>
  <w:style w:type="character" w:styleId="891">
    <w:name w:val="endnote reference"/>
    <w:basedOn w:val="904"/>
    <w:uiPriority w:val="99"/>
    <w:semiHidden/>
    <w:unhideWhenUsed/>
    <w:rPr>
      <w:vertAlign w:val="superscript"/>
    </w:rPr>
  </w:style>
  <w:style w:type="paragraph" w:styleId="892">
    <w:name w:val="toc 1"/>
    <w:basedOn w:val="903"/>
    <w:next w:val="903"/>
    <w:uiPriority w:val="39"/>
    <w:unhideWhenUsed/>
    <w:pPr>
      <w:ind w:left="0" w:right="0" w:firstLine="0"/>
      <w:spacing w:after="57"/>
    </w:pPr>
  </w:style>
  <w:style w:type="paragraph" w:styleId="893">
    <w:name w:val="toc 2"/>
    <w:basedOn w:val="903"/>
    <w:next w:val="903"/>
    <w:uiPriority w:val="39"/>
    <w:unhideWhenUsed/>
    <w:pPr>
      <w:ind w:left="283" w:right="0" w:firstLine="0"/>
      <w:spacing w:after="57"/>
    </w:pPr>
  </w:style>
  <w:style w:type="paragraph" w:styleId="894">
    <w:name w:val="toc 3"/>
    <w:basedOn w:val="903"/>
    <w:next w:val="903"/>
    <w:uiPriority w:val="39"/>
    <w:unhideWhenUsed/>
    <w:pPr>
      <w:ind w:left="567" w:right="0" w:firstLine="0"/>
      <w:spacing w:after="57"/>
    </w:pPr>
  </w:style>
  <w:style w:type="paragraph" w:styleId="895">
    <w:name w:val="toc 4"/>
    <w:basedOn w:val="903"/>
    <w:next w:val="903"/>
    <w:uiPriority w:val="39"/>
    <w:unhideWhenUsed/>
    <w:pPr>
      <w:ind w:left="850" w:right="0" w:firstLine="0"/>
      <w:spacing w:after="57"/>
    </w:pPr>
  </w:style>
  <w:style w:type="paragraph" w:styleId="896">
    <w:name w:val="toc 5"/>
    <w:basedOn w:val="903"/>
    <w:next w:val="903"/>
    <w:uiPriority w:val="39"/>
    <w:unhideWhenUsed/>
    <w:pPr>
      <w:ind w:left="1134" w:right="0" w:firstLine="0"/>
      <w:spacing w:after="57"/>
    </w:pPr>
  </w:style>
  <w:style w:type="paragraph" w:styleId="897">
    <w:name w:val="toc 6"/>
    <w:basedOn w:val="903"/>
    <w:next w:val="903"/>
    <w:uiPriority w:val="39"/>
    <w:unhideWhenUsed/>
    <w:pPr>
      <w:ind w:left="1417" w:right="0" w:firstLine="0"/>
      <w:spacing w:after="57"/>
    </w:pPr>
  </w:style>
  <w:style w:type="paragraph" w:styleId="898">
    <w:name w:val="toc 7"/>
    <w:basedOn w:val="903"/>
    <w:next w:val="903"/>
    <w:uiPriority w:val="39"/>
    <w:unhideWhenUsed/>
    <w:pPr>
      <w:ind w:left="1701" w:right="0" w:firstLine="0"/>
      <w:spacing w:after="57"/>
    </w:pPr>
  </w:style>
  <w:style w:type="paragraph" w:styleId="899">
    <w:name w:val="toc 8"/>
    <w:basedOn w:val="903"/>
    <w:next w:val="903"/>
    <w:uiPriority w:val="39"/>
    <w:unhideWhenUsed/>
    <w:pPr>
      <w:ind w:left="1984" w:right="0" w:firstLine="0"/>
      <w:spacing w:after="57"/>
    </w:pPr>
  </w:style>
  <w:style w:type="paragraph" w:styleId="900">
    <w:name w:val="toc 9"/>
    <w:basedOn w:val="903"/>
    <w:next w:val="903"/>
    <w:uiPriority w:val="39"/>
    <w:unhideWhenUsed/>
    <w:pPr>
      <w:ind w:left="2268" w:right="0" w:firstLine="0"/>
      <w:spacing w:after="57"/>
    </w:pPr>
  </w:style>
  <w:style w:type="paragraph" w:styleId="901">
    <w:name w:val="TOC Heading"/>
    <w:uiPriority w:val="39"/>
    <w:unhideWhenUsed/>
  </w:style>
  <w:style w:type="paragraph" w:styleId="902">
    <w:name w:val="table of figures"/>
    <w:basedOn w:val="903"/>
    <w:next w:val="903"/>
    <w:uiPriority w:val="99"/>
    <w:unhideWhenUsed/>
    <w:pPr>
      <w:spacing w:after="0" w:afterAutospacing="0"/>
    </w:pPr>
  </w:style>
  <w:style w:type="paragraph" w:styleId="903" w:default="1">
    <w:name w:val="Normal"/>
    <w:qFormat/>
  </w:style>
  <w:style w:type="character" w:styleId="904" w:default="1">
    <w:name w:val="Default Paragraph Font"/>
    <w:uiPriority w:val="1"/>
    <w:semiHidden/>
    <w:unhideWhenUsed/>
  </w:style>
  <w:style w:type="table" w:styleId="9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6" w:default="1">
    <w:name w:val="No List"/>
    <w:uiPriority w:val="99"/>
    <w:semiHidden/>
    <w:unhideWhenUsed/>
  </w:style>
  <w:style w:type="paragraph" w:styleId="907" w:customStyle="1">
    <w:name w:val="Standard"/>
    <w:rPr>
      <w:rFonts w:ascii="Calibri" w:hAnsi="Calibri" w:eastAsia="Calibri" w:cs="F"/>
    </w:rPr>
  </w:style>
  <w:style w:type="character" w:styleId="908">
    <w:name w:val="Hyperlink"/>
    <w:basedOn w:val="904"/>
    <w:uiPriority w:val="99"/>
    <w:unhideWhenUsed/>
    <w:rPr>
      <w:color w:val="0000ff" w:themeColor="hyperlink"/>
      <w:u w:val="single"/>
    </w:rPr>
  </w:style>
  <w:style w:type="paragraph" w:styleId="909">
    <w:name w:val="Balloon Text"/>
    <w:basedOn w:val="903"/>
    <w:link w:val="91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10" w:customStyle="1">
    <w:name w:val="Текст выноски Знак"/>
    <w:basedOn w:val="904"/>
    <w:link w:val="909"/>
    <w:uiPriority w:val="99"/>
    <w:semiHidden/>
    <w:rPr>
      <w:rFonts w:ascii="Segoe UI" w:hAnsi="Segoe UI" w:cs="Segoe UI"/>
      <w:sz w:val="18"/>
      <w:szCs w:val="18"/>
    </w:rPr>
  </w:style>
  <w:style w:type="paragraph" w:styleId="911">
    <w:name w:val="Header"/>
    <w:basedOn w:val="903"/>
    <w:link w:val="91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2" w:customStyle="1">
    <w:name w:val="Верхний колонтитул Знак"/>
    <w:basedOn w:val="904"/>
    <w:link w:val="911"/>
    <w:uiPriority w:val="99"/>
  </w:style>
  <w:style w:type="paragraph" w:styleId="913">
    <w:name w:val="Footer"/>
    <w:basedOn w:val="903"/>
    <w:link w:val="91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4" w:customStyle="1">
    <w:name w:val="Нижний колонтитул Знак"/>
    <w:basedOn w:val="904"/>
    <w:link w:val="913"/>
    <w:uiPriority w:val="99"/>
  </w:style>
  <w:style w:type="paragraph" w:styleId="915" w:customStyle="1">
    <w:name w:val="Text body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29CFE-2D2A-40D5-92CD-8DB761BF8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ziaa</dc:creator>
  <cp:keywords/>
  <dc:description/>
  <cp:revision>38</cp:revision>
  <dcterms:created xsi:type="dcterms:W3CDTF">2023-01-26T01:59:00Z</dcterms:created>
  <dcterms:modified xsi:type="dcterms:W3CDTF">2025-10-13T03:05:44Z</dcterms:modified>
</cp:coreProperties>
</file>